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77"/>
          <w:tab w:val="left" w:pos="1498"/>
        </w:tabs>
        <w:spacing w:line="56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附件：评定成交方法</w:t>
      </w:r>
    </w:p>
    <w:p>
      <w:pPr>
        <w:tabs>
          <w:tab w:val="left" w:pos="1177"/>
          <w:tab w:val="left" w:pos="1498"/>
        </w:tabs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本次评标采用综合评分法，资格审查通过的投标人方可进入评审环节，总分为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分，计算结果保留两位小数。</w:t>
      </w:r>
    </w:p>
    <w:tbl>
      <w:tblPr>
        <w:tblStyle w:val="2"/>
        <w:tblW w:w="8610" w:type="dxa"/>
        <w:tblInd w:w="1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6237"/>
        <w:gridCol w:w="8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Header/>
        </w:trPr>
        <w:tc>
          <w:tcPr>
            <w:tcW w:w="1523" w:type="dxa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评分因素</w:t>
            </w:r>
          </w:p>
        </w:tc>
        <w:tc>
          <w:tcPr>
            <w:tcW w:w="6237" w:type="dxa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评分标准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000000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523" w:type="dxa"/>
            <w:tcBorders>
              <w:top w:val="nil"/>
              <w:left w:val="single" w:color="auto" w:sz="1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投标报价</w:t>
            </w:r>
          </w:p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（30分）</w:t>
            </w:r>
          </w:p>
        </w:tc>
        <w:tc>
          <w:tcPr>
            <w:tcW w:w="6237" w:type="dxa"/>
            <w:tcBorders>
              <w:top w:val="nil"/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价格分采用低价优先法计算，即满足招标文件文件要求且投标报价最低的为评标基准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价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，其报价得分为满分30分。其他投标人的价格分统一按照下列公式计算：投标报价得分=（评标基准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价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/投标报价）×30（计算结果四舍五入保留两位小数）</w:t>
            </w:r>
          </w:p>
        </w:tc>
        <w:tc>
          <w:tcPr>
            <w:tcW w:w="850" w:type="dxa"/>
            <w:tcBorders>
              <w:top w:val="nil"/>
              <w:left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523" w:type="dxa"/>
            <w:tcBorders>
              <w:top w:val="single" w:color="auto" w:sz="4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业绩</w:t>
            </w:r>
          </w:p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（1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分）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投标供应商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eastAsia="zh-CN"/>
              </w:rPr>
              <w:t>自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  <w:t>21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  <w:t>1日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至今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eastAsia="zh-CN"/>
              </w:rPr>
              <w:t>在本科高校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类似项目业绩，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eastAsia="zh-CN"/>
              </w:rPr>
              <w:t>同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一个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eastAsia="zh-CN"/>
              </w:rPr>
              <w:t>本科高校业绩最多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  <w:t xml:space="preserve"> 3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 xml:space="preserve"> 分，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eastAsia="zh-CN"/>
              </w:rPr>
              <w:t>本项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最多得 1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  <w:t>5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 xml:space="preserve"> 分。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(以中标通知书或合同为准，时间以合同签订时间为准)；（提供合同复印件或其他证明材料并加盖投标人公章）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23" w:type="dxa"/>
            <w:vMerge w:val="restart"/>
            <w:tcBorders>
              <w:top w:val="nil"/>
              <w:left w:val="single" w:color="auto" w:sz="1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技术     （40分）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考研科目种类要求：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包括公共课、统考课、专业课、小语种、同等学力申硕等，总数应不少于</w:t>
            </w:r>
            <w:r>
              <w:rPr>
                <w:rFonts w:hint="eastAsia" w:ascii="Times New Roman" w:hAnsi="Times New Roman" w:eastAsia="仿宋_GB2312"/>
                <w:color w:val="C00000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门。每多一门加1分。本项最高得1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分。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（提供平台功能截图，加盖投标人公章）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23" w:type="dxa"/>
            <w:vMerge w:val="continue"/>
            <w:tcBorders>
              <w:left w:val="single" w:color="auto" w:sz="1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考研课程内容要求：资源必须包含2024年度研究生考试在内的最新辅导课程，并提供不少于</w:t>
            </w:r>
            <w:r>
              <w:rPr>
                <w:rFonts w:hint="eastAsia" w:ascii="Times New Roman" w:hAnsi="Times New Roman" w:eastAsia="仿宋_GB2312"/>
                <w:color w:val="C0000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年的往期课程资源以及历年考研真题和考研模拟试题。每多一年加1分。本项最高得1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分。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（提供平台功能截图，加盖投标人公章）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23" w:type="dxa"/>
            <w:vMerge w:val="continue"/>
            <w:tcBorders>
              <w:left w:val="single" w:color="auto" w:sz="1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考研课程的课件总量不少于24000课时，每多一课时加1分；考研课程的试卷总量不少于 10000套，每多一套加1分；考研课程每年更新的总量不少于1000课时，每多一课时加1分；考研试卷每年更新的总量不少于500套，每多一套加1分。本项最高得1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分。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（提供平台功能截图，加盖投标人公章）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2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资源平台功能要求：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1、资源平台具有在线点播、分享、收藏、笔记等功能，按照课程阶段和年度对课程内容进行分类展示和检索。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（提供平台功能截图，加盖投标人公章）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2、考试管理系统应具有在线模拟考试、在线真题练习、专项训练、随机组卷、试卷管理、续答功能、错题库、自建库、答题进度卡、个人中心、用户管理、日志统计等学习功能。每多一项功能加1分。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本项最高得1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分。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（提供平台功能截图，加盖投标人公章）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服务</w:t>
            </w:r>
          </w:p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（15分）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为了保证产品具有追溯性且保证质量，投标供应商拥有产品的资源版权合法性证明材料，如软件著作权证书，最高得 2 分。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23" w:type="dxa"/>
            <w:vMerge w:val="continue"/>
            <w:tcBorders>
              <w:left w:val="single" w:color="auto" w:sz="1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根据投标供应商的售后服务方案进行综合评价，方案具体、详细、可行的按照最优者得3(不含) 分，一般得 2 (不含) 分，其余得 1-0 分；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23" w:type="dxa"/>
            <w:vMerge w:val="continue"/>
            <w:tcBorders>
              <w:left w:val="single" w:color="auto" w:sz="1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根据投标人的售后服务承诺、响应时间，服务队伍的人员资质进行综合评价： 售后服务承诺好、响应时间短，服务队伍的人员资质优的按照最优者得 5-4(不含) 分，一般得 3-2 (不含) 分，其余得 1-0 分；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2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1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制定应急处理方案，如产品使用过程中无法登录，有无备用方案或及时派专人解决等服务，以保证产品正常使用，最优者得5-4(不含) 分，一般得 3-2 (不含)分，其余得 1-0 分；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</w:p>
        </w:tc>
      </w:tr>
    </w:tbl>
    <w:p>
      <w:pPr>
        <w:spacing w:before="74" w:line="380" w:lineRule="exact"/>
        <w:ind w:left="494" w:firstLine="526" w:firstLineChars="200"/>
        <w:outlineLvl w:val="1"/>
        <w:rPr>
          <w:rFonts w:ascii="宋体" w:hAnsi="宋体" w:eastAsia="宋体" w:cs="宋体"/>
          <w:b/>
          <w:bCs/>
          <w:spacing w:val="11"/>
          <w:position w:val="2"/>
          <w:sz w:val="24"/>
          <w:szCs w:val="24"/>
        </w:rPr>
      </w:pPr>
    </w:p>
    <w:p>
      <w:pPr>
        <w:tabs>
          <w:tab w:val="left" w:pos="1177"/>
          <w:tab w:val="left" w:pos="1498"/>
        </w:tabs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中标候选资格按综合得分由高到低顺序排列，得分相同的，则按报价分由高到低确定排名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MTQzNGU1ODQxMDRhNmIzNWMxNDRiZGExNWRmMTAifQ=="/>
  </w:docVars>
  <w:rsids>
    <w:rsidRoot w:val="64812189"/>
    <w:rsid w:val="22F6402F"/>
    <w:rsid w:val="29044E1C"/>
    <w:rsid w:val="32365C85"/>
    <w:rsid w:val="55BD3686"/>
    <w:rsid w:val="59914E50"/>
    <w:rsid w:val="64812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1233</Words>
  <Characters>1291</Characters>
  <Lines>0</Lines>
  <Paragraphs>0</Paragraphs>
  <TotalTime>27</TotalTime>
  <ScaleCrop>false</ScaleCrop>
  <LinksUpToDate>false</LinksUpToDate>
  <CharactersWithSpaces>1325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2024-06-11T08:13:00Z</dcterms:created>
  <dc:creator>穿开司米的黑手党</dc:creator>
  <cp:lastModifiedBy>Administrator</cp:lastModifiedBy>
  <dcterms:modified xsi:type="dcterms:W3CDTF">2024-08-30T09:07:45Z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9B82E8DCC2C1478CBA62104AAD700BB4_11</vt:lpwstr>
  </property>
</Properties>
</file>